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0A3D1C" w:rsidR="00010F0E" w:rsidP="5513288D" w:rsidRDefault="008B5F23" w14:paraId="5F72779E" w14:textId="303F6F91">
      <w:pPr>
        <w:rPr>
          <w:rFonts w:ascii="Aptos" w:hAnsi="Aptos" w:eastAsia="Aptos" w:cs="Aptos"/>
        </w:rPr>
      </w:pPr>
      <w:r>
        <w:rPr>
          <w:rFonts w:ascii="Aptos" w:hAnsi="Aptos" w:eastAsia="Aptos" w:cs="Aptos"/>
        </w:rPr>
        <w:t>[DATE]</w:t>
      </w:r>
      <w:r w:rsidRPr="5513288D" w:rsidR="5513288D">
        <w:rPr>
          <w:rFonts w:ascii="Aptos" w:hAnsi="Aptos" w:eastAsia="Aptos" w:cs="Aptos"/>
        </w:rPr>
        <w:t>, 2026</w:t>
      </w:r>
    </w:p>
    <w:p w:rsidRPr="000A3D1C" w:rsidR="00010F0E" w:rsidP="5513288D" w:rsidRDefault="00010F0E" w14:paraId="23527F77" w14:textId="05190C7F">
      <w:pPr>
        <w:rPr>
          <w:rFonts w:ascii="Aptos" w:hAnsi="Aptos" w:eastAsia="Aptos" w:cs="Aptos"/>
        </w:rPr>
      </w:pPr>
    </w:p>
    <w:p w:rsidRPr="008B5F23" w:rsidR="008B5F23" w:rsidP="008B5F23" w:rsidRDefault="008B5F23" w14:paraId="1ED68035" w14:textId="3D3E8AF3">
      <w:pPr>
        <w:rPr>
          <w:rFonts w:ascii="Aptos" w:hAnsi="Aptos" w:eastAsia="Aptos" w:cs="Aptos"/>
        </w:rPr>
      </w:pPr>
      <w:r w:rsidRPr="008B5F23">
        <w:rPr>
          <w:rFonts w:ascii="Aptos" w:hAnsi="Aptos" w:eastAsia="Aptos" w:cs="Aptos"/>
        </w:rPr>
        <w:t xml:space="preserve">Dear </w:t>
      </w:r>
      <w:r>
        <w:rPr>
          <w:rFonts w:ascii="Aptos" w:hAnsi="Aptos" w:eastAsia="Aptos" w:cs="Aptos"/>
        </w:rPr>
        <w:t>[PARTNER]</w:t>
      </w:r>
      <w:r w:rsidRPr="008B5F23">
        <w:rPr>
          <w:rFonts w:ascii="Aptos" w:hAnsi="Aptos" w:eastAsia="Aptos" w:cs="Aptos"/>
        </w:rPr>
        <w:t xml:space="preserve">, </w:t>
      </w:r>
    </w:p>
    <w:p w:rsidRPr="008B5F23" w:rsidR="008B5F23" w:rsidP="008B5F23" w:rsidRDefault="008B5F23" w14:paraId="260145C6" w14:textId="77777777">
      <w:pPr>
        <w:rPr>
          <w:rFonts w:ascii="Aptos" w:hAnsi="Aptos" w:eastAsia="Aptos" w:cs="Aptos"/>
        </w:rPr>
      </w:pPr>
    </w:p>
    <w:p w:rsidRPr="008B5F23" w:rsidR="008B5F23" w:rsidP="4CFD7B0E" w:rsidRDefault="008B5F23" w14:paraId="19DE9293" w14:textId="1CA07D74">
      <w:pPr>
        <w:rPr>
          <w:rFonts w:ascii="Aptos" w:hAnsi="Aptos" w:eastAsia="Aptos" w:cs="Aptos"/>
          <w:lang w:val="en-US"/>
        </w:rPr>
      </w:pPr>
      <w:r w:rsidRPr="4CFD7B0E" w:rsidR="4CFD7B0E">
        <w:rPr>
          <w:rFonts w:ascii="Aptos" w:hAnsi="Aptos" w:eastAsia="Aptos" w:cs="Aptos"/>
          <w:lang w:val="en-US"/>
        </w:rPr>
        <w:t xml:space="preserve">[NAME OF PHARMACY] is a member of the Alliance for Pharmacy Compounding, and </w:t>
      </w:r>
      <w:r w:rsidRPr="4CFD7B0E" w:rsidR="4CFD7B0E">
        <w:rPr>
          <w:rFonts w:ascii="Aptos" w:hAnsi="Aptos" w:eastAsia="Aptos" w:cs="Aptos"/>
          <w:lang w:val="en-US"/>
        </w:rPr>
        <w:t>I’m</w:t>
      </w:r>
      <w:r w:rsidRPr="4CFD7B0E" w:rsidR="4CFD7B0E">
        <w:rPr>
          <w:rFonts w:ascii="Aptos" w:hAnsi="Aptos" w:eastAsia="Aptos" w:cs="Aptos"/>
          <w:lang w:val="en-US"/>
        </w:rPr>
        <w:t xml:space="preserve"> writing to urge your support in confronting a threat to compounding that imperils our patients and businesses. APC is leading the fight, and they need your support, too.</w:t>
      </w:r>
      <w:r w:rsidRPr="4CFD7B0E" w:rsidR="4CFD7B0E">
        <w:rPr>
          <w:rFonts w:ascii="Aptos" w:hAnsi="Aptos" w:eastAsia="Aptos" w:cs="Aptos"/>
          <w:b w:val="1"/>
          <w:bCs w:val="1"/>
          <w:i w:val="0"/>
          <w:iCs w:val="0"/>
          <w:lang w:val="en-US"/>
        </w:rPr>
        <w:t xml:space="preserve"> </w:t>
      </w:r>
      <w:r w:rsidRPr="4CFD7B0E" w:rsidR="4CFD7B0E">
        <w:rPr>
          <w:rFonts w:ascii="Aptos" w:hAnsi="Aptos" w:eastAsia="Aptos" w:cs="Aptos"/>
          <w:b w:val="1"/>
          <w:bCs w:val="1"/>
          <w:i w:val="0"/>
          <w:iCs w:val="0"/>
          <w:lang w:val="en-US"/>
        </w:rPr>
        <w:t>I</w:t>
      </w:r>
      <w:r w:rsidRPr="4CFD7B0E" w:rsidR="4CFD7B0E">
        <w:rPr>
          <w:rFonts w:ascii="Aptos" w:hAnsi="Aptos" w:eastAsia="Aptos" w:cs="Aptos"/>
          <w:b w:val="1"/>
          <w:bCs w:val="1"/>
          <w:i w:val="0"/>
          <w:iCs w:val="0"/>
          <w:lang w:val="en-US"/>
        </w:rPr>
        <w:t>n 2026, major drugmakers backed restrictive compounding legislation in statehouses across the country, much of it targeting compounded GLP-1 medications.</w:t>
      </w:r>
      <w:r w:rsidRPr="4CFD7B0E" w:rsidR="4CFD7B0E">
        <w:rPr>
          <w:rFonts w:ascii="Aptos" w:hAnsi="Aptos" w:eastAsia="Aptos" w:cs="Aptos"/>
          <w:b w:val="1"/>
          <w:bCs w:val="1"/>
          <w:i w:val="0"/>
          <w:iCs w:val="0"/>
          <w:lang w:val="en-US"/>
        </w:rPr>
        <w:t xml:space="preserve"> </w:t>
      </w:r>
      <w:r w:rsidRPr="4CFD7B0E" w:rsidR="4CFD7B0E">
        <w:rPr>
          <w:rFonts w:ascii="Aptos" w:hAnsi="Aptos" w:eastAsia="Aptos" w:cs="Aptos"/>
          <w:lang w:val="en-US"/>
        </w:rPr>
        <w:t>APC and our partners mobilized quickly, defeating 10 bills and removing problematic compounding provisions from another.</w:t>
      </w:r>
    </w:p>
    <w:p w:rsidRPr="008B5F23" w:rsidR="008B5F23" w:rsidP="008B5F23" w:rsidRDefault="008B5F23" w14:paraId="0AA9DC7C" w14:textId="77777777">
      <w:pPr>
        <w:rPr>
          <w:rFonts w:ascii="Aptos" w:hAnsi="Aptos" w:eastAsia="Aptos" w:cs="Aptos"/>
        </w:rPr>
      </w:pPr>
    </w:p>
    <w:p w:rsidRPr="008B5F23" w:rsidR="008B5F23" w:rsidP="4CFD7B0E" w:rsidRDefault="008B5F23" w14:paraId="317C34AC" w14:textId="77777777">
      <w:pPr>
        <w:rPr>
          <w:rFonts w:ascii="Aptos" w:hAnsi="Aptos" w:eastAsia="Aptos" w:cs="Aptos"/>
          <w:lang w:val="en-US"/>
        </w:rPr>
      </w:pPr>
      <w:r w:rsidRPr="4CFD7B0E" w:rsidR="4CFD7B0E">
        <w:rPr>
          <w:rFonts w:ascii="Aptos" w:hAnsi="Aptos" w:eastAsia="Aptos" w:cs="Aptos"/>
          <w:b w:val="1"/>
          <w:bCs w:val="1"/>
          <w:lang w:val="en-US"/>
        </w:rPr>
        <w:t>We expect 2027 to be a much bigger fight.</w:t>
      </w:r>
      <w:r w:rsidRPr="4CFD7B0E" w:rsidR="4CFD7B0E">
        <w:rPr>
          <w:rFonts w:ascii="Aptos" w:hAnsi="Aptos" w:eastAsia="Aptos" w:cs="Aptos"/>
          <w:lang w:val="en-US"/>
        </w:rPr>
        <w:t xml:space="preserve"> Restrictive proposals could emerge in as many as 25 states. And the next wave of legislation won’t simply repeat what we saw this year. The organizations behind these efforts have seen where they met resistance and how APC responded. They will return with more resources and a more refined strategy. </w:t>
      </w:r>
    </w:p>
    <w:p w:rsidRPr="008B5F23" w:rsidR="008B5F23" w:rsidP="008B5F23" w:rsidRDefault="008B5F23" w14:paraId="04FD8A19" w14:textId="77777777">
      <w:pPr>
        <w:rPr>
          <w:rFonts w:ascii="Aptos" w:hAnsi="Aptos" w:eastAsia="Aptos" w:cs="Aptos"/>
        </w:rPr>
      </w:pPr>
    </w:p>
    <w:p w:rsidRPr="008B5F23" w:rsidR="008B5F23" w:rsidP="4CFD7B0E" w:rsidRDefault="008B5F23" w14:paraId="0DA78BDF" w14:textId="77777777">
      <w:pPr>
        <w:rPr>
          <w:rFonts w:ascii="Aptos" w:hAnsi="Aptos" w:eastAsia="Aptos" w:cs="Aptos"/>
          <w:i w:val="1"/>
          <w:iCs w:val="1"/>
          <w:lang w:val="en-US"/>
        </w:rPr>
      </w:pPr>
      <w:r w:rsidRPr="4CFD7B0E" w:rsidR="4CFD7B0E">
        <w:rPr>
          <w:rFonts w:ascii="Aptos" w:hAnsi="Aptos" w:eastAsia="Aptos" w:cs="Aptos"/>
          <w:i w:val="1"/>
          <w:iCs w:val="1"/>
          <w:lang w:val="en-US"/>
        </w:rPr>
        <w:t xml:space="preserve">That means we must be ready before the first bill is introduced. We need state-level expertise in place. We need relationships with pharmacists, patients, prescribers, and other allies ready to activate. We need communications, digital, and grassroots infrastructure in place to move quickly. And we need to engage the moment a proposal surfaces rather than spending the first critical weeks raising money. </w:t>
      </w:r>
    </w:p>
    <w:p w:rsidRPr="008B5F23" w:rsidR="008B5F23" w:rsidP="008B5F23" w:rsidRDefault="008B5F23" w14:paraId="6FAD929F" w14:textId="77777777">
      <w:pPr>
        <w:rPr>
          <w:rFonts w:ascii="Aptos" w:hAnsi="Aptos" w:eastAsia="Aptos" w:cs="Aptos"/>
        </w:rPr>
      </w:pPr>
    </w:p>
    <w:p w:rsidRPr="008B5F23" w:rsidR="008B5F23" w:rsidP="4CFD7B0E" w:rsidRDefault="008B5F23" w14:paraId="70DEC8D5" w14:textId="77777777">
      <w:pPr>
        <w:rPr>
          <w:rFonts w:ascii="Aptos" w:hAnsi="Aptos" w:eastAsia="Aptos" w:cs="Aptos"/>
          <w:lang w:val="en-US"/>
        </w:rPr>
      </w:pPr>
      <w:r w:rsidRPr="4CFD7B0E" w:rsidR="4CFD7B0E">
        <w:rPr>
          <w:rFonts w:ascii="Aptos" w:hAnsi="Aptos" w:eastAsia="Aptos" w:cs="Aptos"/>
          <w:lang w:val="en-US"/>
        </w:rPr>
        <w:t xml:space="preserve">The stakes extend beyond compounding pharmacies. Telehealth companies, technology providers, suppliers, and other businesses work alongside pharmacies and prescribers to serve patients. Future legislation could reach past GLP-1 medications, threatening lawful compounding and everyone who depends on it. </w:t>
      </w:r>
    </w:p>
    <w:p w:rsidRPr="008B5F23" w:rsidR="008B5F23" w:rsidP="008B5F23" w:rsidRDefault="008B5F23" w14:paraId="2DCB82F3" w14:textId="77777777">
      <w:pPr>
        <w:rPr>
          <w:rFonts w:ascii="Aptos" w:hAnsi="Aptos" w:eastAsia="Aptos" w:cs="Aptos"/>
        </w:rPr>
      </w:pPr>
    </w:p>
    <w:p w:rsidRPr="008B5F23" w:rsidR="008B5F23" w:rsidP="4CFD7B0E" w:rsidRDefault="008B5F23" w14:paraId="736B6995" w14:textId="1515BDFD">
      <w:pPr>
        <w:rPr>
          <w:rFonts w:ascii="Aptos" w:hAnsi="Aptos" w:eastAsia="Aptos" w:cs="Aptos"/>
          <w:lang w:val="en-US"/>
        </w:rPr>
      </w:pPr>
      <w:r w:rsidRPr="4CFD7B0E" w:rsidR="4CFD7B0E">
        <w:rPr>
          <w:rFonts w:ascii="Aptos" w:hAnsi="Aptos" w:eastAsia="Aptos" w:cs="Aptos"/>
          <w:b w:val="1"/>
          <w:bCs w:val="1"/>
          <w:lang w:val="en-US"/>
        </w:rPr>
        <w:t>T</w:t>
      </w:r>
      <w:r w:rsidRPr="4CFD7B0E" w:rsidR="4CFD7B0E">
        <w:rPr>
          <w:rFonts w:ascii="Aptos" w:hAnsi="Aptos" w:eastAsia="Aptos" w:cs="Aptos"/>
          <w:b w:val="1"/>
          <w:bCs w:val="1"/>
          <w:lang w:val="en-US"/>
        </w:rPr>
        <w:t xml:space="preserve">hat is why APC must raise $2.5 million for the 2027 Compounding Defense Initiative. </w:t>
      </w:r>
      <w:r w:rsidRPr="4CFD7B0E" w:rsidR="4CFD7B0E">
        <w:rPr>
          <w:rFonts w:ascii="Aptos" w:hAnsi="Aptos" w:eastAsia="Aptos" w:cs="Aptos"/>
          <w:lang w:val="en-US"/>
        </w:rPr>
        <w:t xml:space="preserve">The goal is not simply to respond to legislation after it appears. It is to enter 2027 prepared to </w:t>
      </w:r>
      <w:r w:rsidRPr="4CFD7B0E" w:rsidR="4CFD7B0E">
        <w:rPr>
          <w:rFonts w:ascii="Aptos" w:hAnsi="Aptos" w:eastAsia="Aptos" w:cs="Aptos"/>
          <w:lang w:val="en-US"/>
        </w:rPr>
        <w:t>identify</w:t>
      </w:r>
      <w:r w:rsidRPr="4CFD7B0E" w:rsidR="4CFD7B0E">
        <w:rPr>
          <w:rFonts w:ascii="Aptos" w:hAnsi="Aptos" w:eastAsia="Aptos" w:cs="Aptos"/>
          <w:lang w:val="en-US"/>
        </w:rPr>
        <w:t xml:space="preserve"> threats early, engage in priority states </w:t>
      </w:r>
      <w:r w:rsidRPr="4CFD7B0E" w:rsidR="4CFD7B0E">
        <w:rPr>
          <w:rFonts w:ascii="Aptos" w:hAnsi="Aptos" w:eastAsia="Aptos" w:cs="Aptos"/>
          <w:lang w:val="en-US"/>
        </w:rPr>
        <w:t>immediately</w:t>
      </w:r>
      <w:r w:rsidRPr="4CFD7B0E" w:rsidR="4CFD7B0E">
        <w:rPr>
          <w:rFonts w:ascii="Aptos" w:hAnsi="Aptos" w:eastAsia="Aptos" w:cs="Aptos"/>
          <w:lang w:val="en-US"/>
        </w:rPr>
        <w:t xml:space="preserve">, educate policymakers, mobilize advocates, and respond before restrictive proposals gain momentum. </w:t>
      </w:r>
    </w:p>
    <w:p w:rsidRPr="008B5F23" w:rsidR="008B5F23" w:rsidP="008B5F23" w:rsidRDefault="008B5F23" w14:paraId="7ABE7A01" w14:textId="77777777">
      <w:pPr>
        <w:rPr>
          <w:rFonts w:ascii="Aptos" w:hAnsi="Aptos" w:eastAsia="Aptos" w:cs="Aptos"/>
        </w:rPr>
      </w:pPr>
    </w:p>
    <w:p w:rsidRPr="008B5F23" w:rsidR="008B5F23" w:rsidP="4CFD7B0E" w:rsidRDefault="008B5F23" w14:paraId="785B6262" w14:textId="026D7133">
      <w:pPr>
        <w:rPr>
          <w:rFonts w:ascii="Aptos" w:hAnsi="Aptos" w:eastAsia="Aptos" w:cs="Aptos"/>
          <w:lang w:val="en-US"/>
        </w:rPr>
      </w:pPr>
      <w:r w:rsidRPr="4CFD7B0E" w:rsidR="4CFD7B0E">
        <w:rPr>
          <w:rFonts w:ascii="Aptos" w:hAnsi="Aptos" w:eastAsia="Aptos" w:cs="Aptos"/>
          <w:lang w:val="en-US"/>
        </w:rPr>
        <w:t xml:space="preserve">The attached 2026 Report Card shows what a coordinated effort can accomplish. APC generated more than 5,300 messages to lawmakers, 16 earned media placements, 6.25 million paid media </w:t>
      </w:r>
      <w:r w:rsidRPr="4CFD7B0E" w:rsidR="4CFD7B0E">
        <w:rPr>
          <w:rFonts w:ascii="Aptos" w:hAnsi="Aptos" w:eastAsia="Aptos" w:cs="Aptos"/>
          <w:lang w:val="en-US"/>
        </w:rPr>
        <w:t>impressions, and nearly 40,000 clicks as part of a broader state-by-state campaign. In 2027, we may need to do that work in twice as many states.</w:t>
      </w:r>
    </w:p>
    <w:p w:rsidRPr="008B5F23" w:rsidR="008B5F23" w:rsidP="008B5F23" w:rsidRDefault="008B5F23" w14:paraId="64DA4AB3" w14:textId="77777777">
      <w:pPr>
        <w:rPr>
          <w:rFonts w:ascii="Aptos" w:hAnsi="Aptos" w:eastAsia="Aptos" w:cs="Aptos"/>
        </w:rPr>
      </w:pPr>
    </w:p>
    <w:p w:rsidRPr="003F7E77" w:rsidR="008B5F23" w:rsidP="008B5F23" w:rsidRDefault="003F7E77" w14:paraId="71BBD5DE" w14:textId="20B8A6E1">
      <w:pPr/>
      <w:r w:rsidRPr="4CFD7B0E" w:rsidR="4CFD7B0E">
        <w:rPr>
          <w:rFonts w:ascii="Aptos" w:hAnsi="Aptos"/>
          <w:lang w:val="en-US"/>
        </w:rPr>
        <w:t xml:space="preserve">This legislation would have </w:t>
      </w:r>
      <w:r w:rsidRPr="4CFD7B0E" w:rsidR="4CFD7B0E">
        <w:rPr>
          <w:rStyle w:val="Strong"/>
          <w:rFonts w:ascii="Aptos" w:hAnsi="Aptos"/>
          <w:b w:val="0"/>
          <w:bCs w:val="0"/>
          <w:lang w:val="en-US"/>
        </w:rPr>
        <w:t>direct consequences for telehealth platforms like yours and the patients you serve</w:t>
      </w:r>
      <w:r w:rsidRPr="4CFD7B0E" w:rsidR="4CFD7B0E">
        <w:rPr>
          <w:rFonts w:ascii="Aptos" w:hAnsi="Aptos"/>
          <w:lang w:val="en-US"/>
        </w:rPr>
        <w:t>.</w:t>
      </w:r>
      <w:r w:rsidRPr="4CFD7B0E" w:rsidR="4CFD7B0E">
        <w:rPr>
          <w:lang w:val="en-US"/>
        </w:rPr>
        <w:t xml:space="preserve"> </w:t>
      </w:r>
      <w:r w:rsidRPr="4CFD7B0E" w:rsidR="4CFD7B0E">
        <w:rPr>
          <w:rFonts w:ascii="Aptos" w:hAnsi="Aptos"/>
          <w:lang w:val="en-US"/>
        </w:rPr>
        <w:t xml:space="preserve">Organizations with a stake in preserving compounding and a lot to lose should drugmakers succeed in passing these bills cannot afford to sit on the sidelines. </w:t>
      </w:r>
      <w:r w:rsidRPr="4CFD7B0E" w:rsidR="4CFD7B0E">
        <w:rPr>
          <w:rFonts w:ascii="Aptos" w:hAnsi="Aptos"/>
          <w:lang w:val="en-US"/>
        </w:rPr>
        <w:t>We’re</w:t>
      </w:r>
      <w:r w:rsidRPr="4CFD7B0E" w:rsidR="4CFD7B0E">
        <w:rPr>
          <w:rFonts w:ascii="Aptos" w:hAnsi="Aptos"/>
          <w:lang w:val="en-US"/>
        </w:rPr>
        <w:t xml:space="preserve"> asking partners like you to invest alongside us now so we can build the state-level advocacy, communications, and rapid-response capacity needed before the next wave of legislation arrives. The resources we secure today will </w:t>
      </w:r>
      <w:r w:rsidRPr="4CFD7B0E" w:rsidR="4CFD7B0E">
        <w:rPr>
          <w:rFonts w:ascii="Aptos" w:hAnsi="Aptos"/>
          <w:lang w:val="en-US"/>
        </w:rPr>
        <w:t>determine</w:t>
      </w:r>
      <w:r w:rsidRPr="4CFD7B0E" w:rsidR="4CFD7B0E">
        <w:rPr>
          <w:rFonts w:ascii="Aptos" w:hAnsi="Aptos"/>
          <w:lang w:val="en-US"/>
        </w:rPr>
        <w:t xml:space="preserve"> whether we enter the 2027 legislative sessions prepared to fight these proposals from day one</w:t>
      </w:r>
      <w:r w:rsidRPr="4CFD7B0E" w:rsidR="4CFD7B0E">
        <w:rPr>
          <w:rFonts w:ascii="Aptos" w:hAnsi="Aptos"/>
          <w:lang w:val="en-US"/>
        </w:rPr>
        <w:t xml:space="preserve"> </w:t>
      </w:r>
      <w:r w:rsidRPr="4CFD7B0E" w:rsidR="4CFD7B0E">
        <w:rPr>
          <w:rFonts w:ascii="Aptos" w:hAnsi="Aptos"/>
          <w:lang w:val="en-US"/>
        </w:rPr>
        <w:t>or are forced to play catch-up after they are already moving.</w:t>
      </w:r>
      <w:r w:rsidRPr="4CFD7B0E" w:rsidR="4CFD7B0E">
        <w:rPr>
          <w:rFonts w:ascii="Aptos" w:hAnsi="Aptos"/>
          <w:lang w:val="en-US"/>
        </w:rPr>
        <w:t xml:space="preserve"> </w:t>
      </w:r>
    </w:p>
    <w:p w:rsidRPr="003F7E77" w:rsidR="008B5F23" w:rsidP="4CFD7B0E" w:rsidRDefault="003F7E77" w14:paraId="6A246E99" w14:textId="6610CBEE">
      <w:pPr>
        <w:rPr>
          <w:rFonts w:ascii="Aptos" w:hAnsi="Aptos"/>
          <w:lang w:val="en-US"/>
        </w:rPr>
      </w:pPr>
    </w:p>
    <w:p w:rsidRPr="003F7E77" w:rsidR="008B5F23" w:rsidP="008B5F23" w:rsidRDefault="003F7E77" w14:paraId="2570B408" w14:textId="09DC88F3">
      <w:pPr/>
      <w:r w:rsidRPr="4CFD7B0E" w:rsidR="4CFD7B0E">
        <w:rPr>
          <w:rFonts w:ascii="Aptos" w:hAnsi="Aptos"/>
          <w:b w:val="1"/>
          <w:bCs w:val="1"/>
          <w:color w:val="C00000"/>
          <w:lang w:val="en-US"/>
        </w:rPr>
        <w:t xml:space="preserve">My ask: </w:t>
      </w:r>
      <w:r w:rsidRPr="4CFD7B0E" w:rsidR="4CFD7B0E">
        <w:rPr>
          <w:rFonts w:ascii="Aptos" w:hAnsi="Aptos"/>
          <w:lang w:val="en-US"/>
        </w:rPr>
        <w:t xml:space="preserve"> </w:t>
      </w:r>
      <w:hyperlink r:id="R10373173182047a9">
        <w:commentRangeStart w:id="395585003"/>
        <w:r w:rsidRPr="4CFD7B0E" w:rsidR="4CFD7B0E">
          <w:rPr>
            <w:rStyle w:val="Hyperlink"/>
            <w:rFonts w:ascii="Aptos" w:hAnsi="Aptos" w:eastAsia="Aptos" w:cs="Aptos"/>
            <w:b w:val="1"/>
            <w:bCs w:val="1"/>
            <w:color w:val="1C3468"/>
            <w:lang w:val="en-US"/>
          </w:rPr>
          <w:t>Will you contribute at least $25,000 to support these efforts?</w:t>
        </w:r>
      </w:hyperlink>
      <w:commentRangeEnd w:id="395585003"/>
      <w:r>
        <w:rPr>
          <w:rStyle w:val="CommentReference"/>
        </w:rPr>
        <w:commentReference w:id="395585003"/>
      </w:r>
    </w:p>
    <w:p w:rsidR="4CFD7B0E" w:rsidRDefault="4CFD7B0E" w14:paraId="3991BD93" w14:textId="0A9F2B69">
      <w:r w:rsidRPr="4CFD7B0E" w:rsidR="4CFD7B0E">
        <w:rPr>
          <w:rFonts w:ascii="Aptos" w:hAnsi="Aptos" w:eastAsia="Aptos" w:cs="Aptos"/>
          <w:b w:val="1"/>
          <w:bCs w:val="1"/>
          <w:color w:val="1C3468"/>
          <w:lang w:val="en-US"/>
        </w:rPr>
        <w:t>(www.a4pc.org/cdi)</w:t>
      </w:r>
    </w:p>
    <w:p w:rsidRPr="008B5F23" w:rsidR="008B5F23" w:rsidP="008B5F23" w:rsidRDefault="008B5F23" w14:paraId="6FB76C2C" w14:textId="77777777">
      <w:pPr>
        <w:rPr>
          <w:rFonts w:ascii="Aptos" w:hAnsi="Aptos" w:eastAsia="Aptos" w:cs="Aptos"/>
        </w:rPr>
      </w:pPr>
    </w:p>
    <w:p w:rsidRPr="008B5F23" w:rsidR="008B5F23" w:rsidP="008B5F23" w:rsidRDefault="008B5F23" w14:paraId="6ABDC8F2" w14:textId="77777777">
      <w:pPr>
        <w:rPr>
          <w:rFonts w:ascii="Aptos" w:hAnsi="Aptos" w:eastAsia="Aptos" w:cs="Aptos"/>
        </w:rPr>
      </w:pPr>
      <w:r w:rsidRPr="008B5F23">
        <w:rPr>
          <w:rFonts w:ascii="Aptos" w:hAnsi="Aptos" w:eastAsia="Aptos" w:cs="Aptos"/>
        </w:rPr>
        <w:t xml:space="preserve">Our opposition is preparing for next year. We need to be ready, too. </w:t>
      </w:r>
    </w:p>
    <w:p w:rsidRPr="008B5F23" w:rsidR="008B5F23" w:rsidP="008B5F23" w:rsidRDefault="008B5F23" w14:paraId="0DD2DA96" w14:textId="77777777">
      <w:pPr>
        <w:rPr>
          <w:rFonts w:ascii="Aptos" w:hAnsi="Aptos" w:eastAsia="Aptos" w:cs="Aptos"/>
        </w:rPr>
      </w:pPr>
    </w:p>
    <w:p w:rsidRPr="008B5F23" w:rsidR="008B5F23" w:rsidP="008B5F23" w:rsidRDefault="008B5F23" w14:paraId="6D186AD5" w14:textId="1EE1BF1D">
      <w:pPr>
        <w:rPr>
          <w:rFonts w:ascii="Aptos" w:hAnsi="Aptos" w:eastAsia="Aptos" w:cs="Aptos"/>
        </w:rPr>
      </w:pPr>
      <w:r w:rsidRPr="4CFD7B0E" w:rsidR="4CFD7B0E">
        <w:rPr>
          <w:rFonts w:ascii="Aptos" w:hAnsi="Aptos" w:eastAsia="Aptos" w:cs="Aptos"/>
        </w:rPr>
        <w:t xml:space="preserve">Thank you for your partnership and for considering an investment in our 2027 Compounding Defense Initiative. </w:t>
      </w:r>
    </w:p>
    <w:p w:rsidRPr="008B5F23" w:rsidR="008B5F23" w:rsidP="008B5F23" w:rsidRDefault="008B5F23" w14:paraId="5CC74C03" w14:textId="77777777">
      <w:pPr>
        <w:rPr>
          <w:rFonts w:ascii="Aptos" w:hAnsi="Aptos" w:eastAsia="Aptos" w:cs="Aptos"/>
        </w:rPr>
      </w:pPr>
    </w:p>
    <w:p w:rsidRPr="008B5F23" w:rsidR="008B5F23" w:rsidP="008B5F23" w:rsidRDefault="008B5F23" w14:paraId="64BBF8D0" w14:textId="77777777">
      <w:pPr>
        <w:rPr>
          <w:rFonts w:ascii="Aptos" w:hAnsi="Aptos" w:eastAsia="Aptos" w:cs="Aptos"/>
        </w:rPr>
      </w:pPr>
      <w:r w:rsidRPr="008B5F23">
        <w:rPr>
          <w:rFonts w:ascii="Aptos" w:hAnsi="Aptos" w:eastAsia="Aptos" w:cs="Aptos"/>
        </w:rPr>
        <w:t xml:space="preserve">Sincerely, </w:t>
      </w:r>
    </w:p>
    <w:p w:rsidRPr="008B5F23" w:rsidR="008B5F23" w:rsidP="008B5F23" w:rsidRDefault="008B5F23" w14:paraId="1A4528B8" w14:textId="77777777">
      <w:pPr>
        <w:rPr>
          <w:rFonts w:ascii="Aptos" w:hAnsi="Aptos" w:eastAsia="Aptos" w:cs="Aptos"/>
        </w:rPr>
      </w:pPr>
    </w:p>
    <w:p w:rsidRPr="008B5F23" w:rsidR="008B5F23" w:rsidP="008B5F23" w:rsidRDefault="008B5F23" w14:paraId="7B2F233B" w14:textId="3B9C502C">
      <w:pPr>
        <w:rPr>
          <w:rFonts w:ascii="Aptos" w:hAnsi="Aptos" w:eastAsia="Aptos" w:cs="Aptos"/>
        </w:rPr>
      </w:pPr>
      <w:r w:rsidRPr="008B5F23">
        <w:rPr>
          <w:rFonts w:ascii="Aptos" w:hAnsi="Aptos" w:eastAsia="Aptos" w:cs="Aptos"/>
        </w:rPr>
        <w:t xml:space="preserve">[NAME] </w:t>
      </w:r>
    </w:p>
    <w:p w:rsidRPr="008B5F23" w:rsidR="008B5F23" w:rsidP="008B5F23" w:rsidRDefault="008B5F23" w14:paraId="52D4C995" w14:textId="76BC8CFD">
      <w:pPr>
        <w:rPr>
          <w:rFonts w:ascii="Aptos" w:hAnsi="Aptos" w:eastAsia="Aptos" w:cs="Aptos"/>
        </w:rPr>
      </w:pPr>
      <w:r w:rsidRPr="008B5F23">
        <w:rPr>
          <w:rFonts w:ascii="Aptos" w:hAnsi="Aptos" w:eastAsia="Aptos" w:cs="Aptos"/>
        </w:rPr>
        <w:t xml:space="preserve">[TITLE] </w:t>
      </w:r>
    </w:p>
    <w:p w:rsidRPr="000A3D1C" w:rsidR="000A3D1C" w:rsidP="008B5F23" w:rsidRDefault="008B5F23" w14:paraId="14A3B473" w14:textId="4846281A">
      <w:pPr>
        <w:rPr>
          <w:rFonts w:ascii="Aptos" w:hAnsi="Aptos" w:eastAsia="Aptos" w:cs="Aptos"/>
        </w:rPr>
      </w:pPr>
      <w:r w:rsidRPr="008B5F23">
        <w:rPr>
          <w:rFonts w:ascii="Aptos" w:hAnsi="Aptos" w:eastAsia="Aptos" w:cs="Aptos"/>
        </w:rPr>
        <w:t>[PHARMACY]</w:t>
      </w:r>
    </w:p>
    <w:sectPr w:rsidRPr="000A3D1C" w:rsidR="000A3D1C">
      <w:headerReference w:type="default" r:id="rId10"/>
      <w:footerReference w:type="default" r:id="rId11"/>
      <w:headerReference w:type="first" r:id="rId12"/>
      <w:footerReference w:type="first" r:id="rId13"/>
      <w:pgSz w:w="12240" w:h="15840" w:orient="portrait"/>
      <w:pgMar w:top="1440" w:right="1440" w:bottom="1440" w:left="1440" w:header="1440" w:footer="720" w:gutter="0"/>
      <w:pgNumType w:start="1"/>
      <w:cols w:space="72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U" w:author="Guest User" w:date="2026-09-30T09:55:02" w:id="395585003">
    <w:p xmlns:w14="http://schemas.microsoft.com/office/word/2010/wordml" xmlns:w="http://schemas.openxmlformats.org/wordprocessingml/2006/main" w:rsidR="312EA5BC" w:rsidRDefault="1B463A3B" w14:paraId="5C9C7935" w14:textId="32B48A63">
      <w:pPr>
        <w:pStyle w:val="CommentText"/>
      </w:pPr>
      <w:r>
        <w:rPr>
          <w:rStyle w:val="CommentReference"/>
        </w:rPr>
        <w:annotationRef/>
      </w:r>
      <w:r w:rsidRPr="48E840B2" w:rsidR="3F614162">
        <w:t xml:space="preserve">Make it will you contribute at least $25,000...?  Also, this is the wrong link. Sedn them to the CDI page first. There's a link there to invest. </w:t>
      </w:r>
    </w:p>
  </w:comment>
</w:comments>
</file>

<file path=word/commentsExtended.xml><?xml version="1.0" encoding="utf-8"?>
<w15:commentsEx xmlns:mc="http://schemas.openxmlformats.org/markup-compatibility/2006" xmlns:w15="http://schemas.microsoft.com/office/word/2012/wordml" mc:Ignorable="w15">
  <w15:commentEx w15:done="1" w15:paraId="5C9C793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6928CA" w16cex:dateUtc="2026-09-30T13:55:02.146Z"/>
</w16cex:commentsExtensible>
</file>

<file path=word/commentsIds.xml><?xml version="1.0" encoding="utf-8"?>
<w16cid:commentsIds xmlns:mc="http://schemas.openxmlformats.org/markup-compatibility/2006" xmlns:w16cid="http://schemas.microsoft.com/office/word/2016/wordml/cid" mc:Ignorable="w16cid">
  <w16cid:commentId w16cid:paraId="5C9C7935" w16cid:durableId="1A6928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B64213" w:rsidRDefault="00B64213" w14:paraId="4E70C21A" w14:textId="77777777">
      <w:pPr>
        <w:spacing w:line="240" w:lineRule="auto"/>
      </w:pPr>
      <w:r>
        <w:separator/>
      </w:r>
    </w:p>
  </w:endnote>
  <w:endnote w:type="continuationSeparator" w:id="0">
    <w:p w:rsidR="00B64213" w:rsidRDefault="00B64213" w14:paraId="001E592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w:fontKey="{74B1F6AA-EAA7-6045-A7F2-7D8ECF3F6CD6}" r:id="rId1"/>
    <w:embedItalic w:fontKey="{F4235040-84BC-C140-96CD-9F4509B19B6F}" r:id="rId2"/>
  </w:font>
  <w:font w:name="Times New Roman">
    <w:panose1 w:val="02020603050405020304"/>
    <w:charset w:val="00"/>
    <w:family w:val="roman"/>
    <w:pitch w:val="variable"/>
    <w:sig w:usb0="E0002EFF" w:usb1="C000785B" w:usb2="00000009" w:usb3="00000000" w:csb0="000001FF" w:csb1="00000000"/>
    <w:embedRegular w:fontKey="{7FF63158-9F12-FA41-AB2B-72C89B134A63}" r:id="rId3"/>
    <w:embedBold w:fontKey="{6DC9802F-2C52-F745-B39A-027521D82B5F}" r:id="rId4"/>
  </w:font>
  <w:font w:name="Aptos">
    <w:panose1 w:val="020B0004020202020204"/>
    <w:charset w:val="00"/>
    <w:family w:val="swiss"/>
    <w:pitch w:val="variable"/>
    <w:sig w:usb0="20000287" w:usb1="00000003" w:usb2="00000000" w:usb3="00000000" w:csb0="0000019F" w:csb1="00000000"/>
    <w:embedRegular w:fontKey="{FD2A9CCE-38D1-EB4A-B93D-486BD09A0944}" r:id="rId5"/>
    <w:embedBold w:fontKey="{BC11A2C3-4BE3-744F-8816-32F1209EB8F6}" r:id="rId6"/>
  </w:font>
  <w:font w:name="Calibri">
    <w:panose1 w:val="020F0502020204030204"/>
    <w:charset w:val="00"/>
    <w:family w:val="swiss"/>
    <w:pitch w:val="variable"/>
    <w:sig w:usb0="E0002AFF" w:usb1="C000ACFF" w:usb2="00000009" w:usb3="00000000" w:csb0="000001FF" w:csb1="00000000"/>
    <w:embedRegular w:fontKey="{D0EFF000-810E-FE45-B02B-0A46903539F5}" r:id="rId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A20D0949-4CA8-234A-AD55-ED14364D8792}"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BE8F36E" w:rsidTr="2BE8F36E" w14:paraId="52224760" w14:textId="77777777">
      <w:trPr>
        <w:trHeight w:val="300"/>
      </w:trPr>
      <w:tc>
        <w:tcPr>
          <w:tcW w:w="3120" w:type="dxa"/>
        </w:tcPr>
        <w:p w:rsidR="2BE8F36E" w:rsidP="2BE8F36E" w:rsidRDefault="2BE8F36E" w14:paraId="2CA91562" w14:textId="2A9E904D">
          <w:pPr>
            <w:pStyle w:val="Header"/>
            <w:ind w:left="-115"/>
          </w:pPr>
        </w:p>
      </w:tc>
      <w:tc>
        <w:tcPr>
          <w:tcW w:w="3120" w:type="dxa"/>
        </w:tcPr>
        <w:p w:rsidR="2BE8F36E" w:rsidP="2BE8F36E" w:rsidRDefault="2BE8F36E" w14:paraId="5B2110CC" w14:textId="5DACAAC7">
          <w:pPr>
            <w:pStyle w:val="Header"/>
            <w:jc w:val="center"/>
          </w:pPr>
        </w:p>
      </w:tc>
      <w:tc>
        <w:tcPr>
          <w:tcW w:w="3120" w:type="dxa"/>
        </w:tcPr>
        <w:p w:rsidR="2BE8F36E" w:rsidP="2BE8F36E" w:rsidRDefault="2BE8F36E" w14:paraId="5E1D7BB3" w14:textId="1074BA4F">
          <w:pPr>
            <w:pStyle w:val="Header"/>
            <w:ind w:right="-115"/>
            <w:jc w:val="right"/>
          </w:pPr>
        </w:p>
      </w:tc>
    </w:tr>
  </w:tbl>
  <w:p w:rsidR="2BE8F36E" w:rsidP="2BE8F36E" w:rsidRDefault="2BE8F36E" w14:paraId="2F6B6480" w14:textId="2E3DE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731FACD4" w:rsidTr="731FACD4" w14:paraId="7305C59E" w14:textId="77777777">
      <w:trPr>
        <w:trHeight w:val="300"/>
      </w:trPr>
      <w:tc>
        <w:tcPr>
          <w:tcW w:w="3120" w:type="dxa"/>
        </w:tcPr>
        <w:p w:rsidR="731FACD4" w:rsidP="731FACD4" w:rsidRDefault="731FACD4" w14:paraId="0B3701B5" w14:textId="68C45543">
          <w:pPr>
            <w:pStyle w:val="Header"/>
            <w:ind w:left="-115"/>
          </w:pPr>
        </w:p>
      </w:tc>
      <w:tc>
        <w:tcPr>
          <w:tcW w:w="3120" w:type="dxa"/>
        </w:tcPr>
        <w:p w:rsidR="731FACD4" w:rsidP="731FACD4" w:rsidRDefault="731FACD4" w14:paraId="6807A8A9" w14:textId="1939787C">
          <w:pPr>
            <w:pStyle w:val="Header"/>
            <w:jc w:val="center"/>
          </w:pPr>
        </w:p>
      </w:tc>
      <w:tc>
        <w:tcPr>
          <w:tcW w:w="3120" w:type="dxa"/>
        </w:tcPr>
        <w:p w:rsidR="731FACD4" w:rsidP="731FACD4" w:rsidRDefault="731FACD4" w14:paraId="33AEEE42" w14:textId="68BEAA61">
          <w:pPr>
            <w:pStyle w:val="Header"/>
            <w:ind w:right="-115"/>
            <w:jc w:val="right"/>
          </w:pPr>
        </w:p>
      </w:tc>
    </w:tr>
  </w:tbl>
  <w:p w:rsidR="731FACD4" w:rsidP="731FACD4" w:rsidRDefault="731FACD4" w14:paraId="5B951C92" w14:textId="07719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B64213" w:rsidRDefault="00B64213" w14:paraId="2280C7AD" w14:textId="77777777">
      <w:pPr>
        <w:spacing w:line="240" w:lineRule="auto"/>
      </w:pPr>
      <w:r>
        <w:separator/>
      </w:r>
    </w:p>
  </w:footnote>
  <w:footnote w:type="continuationSeparator" w:id="0">
    <w:p w:rsidR="00B64213" w:rsidRDefault="00B64213" w14:paraId="573BFD1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7C3BCC" w:rsidRDefault="00827322" w14:paraId="1D92112B" w14:textId="77777777">
    <w:pPr>
      <w:rPr>
        <w:rFonts w:ascii="Calibri" w:hAnsi="Calibri" w:eastAsia="Calibri" w:cs="Calibri"/>
        <w:color w:val="203864"/>
        <w:sz w:val="18"/>
        <w:szCs w:val="18"/>
        <w:highlight w:val="white"/>
      </w:rPr>
    </w:pPr>
    <w:r>
      <w:rPr>
        <w:rFonts w:ascii="Calibri" w:hAnsi="Calibri" w:eastAsia="Calibri" w:cs="Calibri"/>
        <w:color w:val="203864"/>
        <w:sz w:val="18"/>
        <w:szCs w:val="18"/>
        <w:highlight w:val="white"/>
      </w:rPr>
      <w:t>100 Daingerfield Rd, Suite 100</w:t>
    </w:r>
    <w:r>
      <w:rPr>
        <w:noProof/>
      </w:rPr>
      <w:drawing>
        <wp:anchor distT="114300" distB="114300" distL="114300" distR="114300" simplePos="0" relativeHeight="251658240" behindDoc="0" locked="0" layoutInCell="1" hidden="0" allowOverlap="1" wp14:anchorId="5D005B81" wp14:editId="07777777">
          <wp:simplePos x="0" y="0"/>
          <wp:positionH relativeFrom="column">
            <wp:posOffset>4191000</wp:posOffset>
          </wp:positionH>
          <wp:positionV relativeFrom="paragraph">
            <wp:posOffset>-95249</wp:posOffset>
          </wp:positionV>
          <wp:extent cx="1747838" cy="82822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47838" cy="828224"/>
                  </a:xfrm>
                  <a:prstGeom prst="rect">
                    <a:avLst/>
                  </a:prstGeom>
                  <a:ln/>
                </pic:spPr>
              </pic:pic>
            </a:graphicData>
          </a:graphic>
        </wp:anchor>
      </w:drawing>
    </w:r>
  </w:p>
  <w:p w:rsidR="007C3BCC" w:rsidRDefault="00827322" w14:paraId="45DE00F2" w14:textId="77777777">
    <w:pPr>
      <w:rPr>
        <w:rFonts w:ascii="Calibri" w:hAnsi="Calibri" w:eastAsia="Calibri" w:cs="Calibri"/>
        <w:color w:val="203864"/>
        <w:sz w:val="18"/>
        <w:szCs w:val="18"/>
        <w:highlight w:val="white"/>
      </w:rPr>
    </w:pPr>
    <w:r>
      <w:rPr>
        <w:rFonts w:ascii="Calibri" w:hAnsi="Calibri" w:eastAsia="Calibri" w:cs="Calibri"/>
        <w:color w:val="203864"/>
        <w:sz w:val="18"/>
        <w:szCs w:val="18"/>
        <w:highlight w:val="white"/>
      </w:rPr>
      <w:t>Alexandria, VA  22314</w:t>
    </w:r>
  </w:p>
  <w:p w:rsidR="007C3BCC" w:rsidRDefault="007C3BCC" w14:paraId="5A39BBE3" w14:textId="77777777">
    <w:pPr>
      <w:rPr>
        <w:rFonts w:ascii="Calibri" w:hAnsi="Calibri" w:eastAsia="Calibri" w:cs="Calibri"/>
        <w:color w:val="203864"/>
        <w:sz w:val="18"/>
        <w:szCs w:val="18"/>
        <w:highlight w:val="white"/>
      </w:rPr>
    </w:pPr>
  </w:p>
  <w:p w:rsidR="007C3BCC" w:rsidRDefault="41412988" w14:paraId="2D272EDA" w14:textId="515388A9">
    <w:pPr>
      <w:rPr>
        <w:rFonts w:ascii="Calibri" w:hAnsi="Calibri" w:eastAsia="Calibri" w:cs="Calibri"/>
        <w:color w:val="203864"/>
        <w:sz w:val="18"/>
        <w:szCs w:val="18"/>
        <w:highlight w:val="white"/>
      </w:rPr>
    </w:pPr>
    <w:hyperlink r:id="rId2">
      <w:r w:rsidRPr="41412988">
        <w:rPr>
          <w:rFonts w:ascii="Calibri" w:hAnsi="Calibri" w:eastAsia="Calibri" w:cs="Calibri"/>
          <w:color w:val="1155CC"/>
          <w:sz w:val="18"/>
          <w:szCs w:val="18"/>
          <w:highlight w:val="white"/>
          <w:u w:val="single"/>
        </w:rPr>
        <w:t>www.a4pc.org</w:t>
      </w:r>
    </w:hyperlink>
  </w:p>
  <w:p w:rsidR="007C3BCC" w:rsidRDefault="007C3BCC" w14:paraId="41C8F396" w14:textId="77777777">
    <w:pPr>
      <w:rPr>
        <w:rFonts w:ascii="Calibri" w:hAnsi="Calibri" w:eastAsia="Calibri" w:cs="Calibri"/>
        <w:color w:val="203864"/>
        <w:sz w:val="18"/>
        <w:szCs w:val="18"/>
        <w:highlight w:val="white"/>
      </w:rPr>
    </w:pPr>
  </w:p>
  <w:p w:rsidR="007C3BCC" w:rsidRDefault="007C3BCC" w14:paraId="72A3D3EC" w14:textId="77777777">
    <w:pPr>
      <w:rPr>
        <w:rFonts w:ascii="Calibri" w:hAnsi="Calibri" w:eastAsia="Calibri" w:cs="Calibri"/>
        <w:color w:val="203864"/>
        <w:sz w:val="18"/>
        <w:szCs w:val="18"/>
        <w:highlight w:val="white"/>
      </w:rPr>
    </w:pPr>
  </w:p>
  <w:p w:rsidR="007C3BCC" w:rsidRDefault="007C3BCC" w14:paraId="0D0B940D" w14:textId="77777777">
    <w:pPr>
      <w:rPr>
        <w:rFonts w:ascii="Calibri" w:hAnsi="Calibri" w:eastAsia="Calibri" w:cs="Calibri"/>
        <w:color w:val="203864"/>
        <w:sz w:val="18"/>
        <w:szCs w:val="18"/>
        <w:highlight w:val="white"/>
      </w:rPr>
    </w:pPr>
  </w:p>
  <w:p w:rsidR="007C3BCC" w:rsidRDefault="007C3BCC" w14:paraId="0E27B00A" w14:textId="77777777">
    <w:pPr>
      <w:rPr>
        <w:rFonts w:ascii="Calibri" w:hAnsi="Calibri" w:eastAsia="Calibri" w:cs="Calibri"/>
        <w:color w:val="203864"/>
        <w:sz w:val="18"/>
        <w:szCs w:val="18"/>
        <w:highlight w:val="whit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731FACD4" w:rsidTr="731FACD4" w14:paraId="24AC1680" w14:textId="77777777">
      <w:trPr>
        <w:trHeight w:val="300"/>
      </w:trPr>
      <w:tc>
        <w:tcPr>
          <w:tcW w:w="3120" w:type="dxa"/>
        </w:tcPr>
        <w:p w:rsidR="731FACD4" w:rsidP="731FACD4" w:rsidRDefault="731FACD4" w14:paraId="65BEA3B7" w14:textId="0043D13A">
          <w:pPr>
            <w:pStyle w:val="Header"/>
            <w:ind w:left="-115"/>
          </w:pPr>
        </w:p>
      </w:tc>
      <w:tc>
        <w:tcPr>
          <w:tcW w:w="3120" w:type="dxa"/>
        </w:tcPr>
        <w:p w:rsidR="731FACD4" w:rsidP="731FACD4" w:rsidRDefault="731FACD4" w14:paraId="2566E663" w14:textId="2B67DF4C">
          <w:pPr>
            <w:pStyle w:val="Header"/>
            <w:jc w:val="center"/>
          </w:pPr>
        </w:p>
      </w:tc>
      <w:tc>
        <w:tcPr>
          <w:tcW w:w="3120" w:type="dxa"/>
        </w:tcPr>
        <w:p w:rsidR="731FACD4" w:rsidP="731FACD4" w:rsidRDefault="731FACD4" w14:paraId="1269445D" w14:textId="77DF27A0">
          <w:pPr>
            <w:pStyle w:val="Header"/>
            <w:ind w:right="-115"/>
            <w:jc w:val="right"/>
          </w:pPr>
        </w:p>
      </w:tc>
    </w:tr>
  </w:tbl>
  <w:p w:rsidR="731FACD4" w:rsidP="731FACD4" w:rsidRDefault="731FACD4" w14:paraId="6B6F6600" w14:textId="03C47CC4">
    <w:pPr>
      <w:pStyle w:val="Header"/>
    </w:pPr>
  </w:p>
</w:hdr>
</file>

<file path=word/people.xml><?xml version="1.0" encoding="utf-8"?>
<w15:people xmlns:mc="http://schemas.openxmlformats.org/markup-compatibility/2006" xmlns:w15="http://schemas.microsoft.com/office/word/2012/wordml" mc:Ignorable="w15">
  <w15:person w15:author="Guest User">
    <w15:presenceInfo w15:providerId="AD" w15:userId="S::urn:spo:tenantanon#26ba31fa-177f-47da-aa7c-60fcb13fbfc4::"/>
  </w15:person>
  <w15:person w15:author="Guest User">
    <w15:presenceInfo w15:providerId="AD" w15:userId="S::urn:spo:tenantanon#26ba31fa-177f-47da-aa7c-60fcb13fbfc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BCC"/>
    <w:rsid w:val="00003F56"/>
    <w:rsid w:val="00010F0E"/>
    <w:rsid w:val="0006711B"/>
    <w:rsid w:val="00090C7B"/>
    <w:rsid w:val="000A3D1C"/>
    <w:rsid w:val="001A68EB"/>
    <w:rsid w:val="002D6F26"/>
    <w:rsid w:val="003914BF"/>
    <w:rsid w:val="003C53DC"/>
    <w:rsid w:val="003F7E77"/>
    <w:rsid w:val="005250AA"/>
    <w:rsid w:val="00650651"/>
    <w:rsid w:val="007C3BCC"/>
    <w:rsid w:val="00827322"/>
    <w:rsid w:val="008B5F23"/>
    <w:rsid w:val="008E3C4C"/>
    <w:rsid w:val="00916F99"/>
    <w:rsid w:val="00942986"/>
    <w:rsid w:val="00AB3ACA"/>
    <w:rsid w:val="00B02061"/>
    <w:rsid w:val="00B64213"/>
    <w:rsid w:val="00B6721D"/>
    <w:rsid w:val="00BA1874"/>
    <w:rsid w:val="00BB5F71"/>
    <w:rsid w:val="00CC7462"/>
    <w:rsid w:val="00FE752B"/>
    <w:rsid w:val="2BE8F36E"/>
    <w:rsid w:val="41412988"/>
    <w:rsid w:val="4CFD7B0E"/>
    <w:rsid w:val="5513288D"/>
    <w:rsid w:val="731FAC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AD2A17C"/>
  <w15:docId w15:val="{4F70C290-2DB0-4220-82C1-5C44533A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uiPriority w:val="99"/>
    <w:unhideWhenUsed/>
    <w:rsid w:val="2BE8F36E"/>
    <w:pPr>
      <w:tabs>
        <w:tab w:val="center" w:pos="4680"/>
        <w:tab w:val="right" w:pos="9360"/>
      </w:tabs>
      <w:spacing w:line="240" w:lineRule="auto"/>
    </w:pPr>
  </w:style>
  <w:style w:type="paragraph" w:styleId="Footer">
    <w:name w:val="footer"/>
    <w:basedOn w:val="Normal"/>
    <w:uiPriority w:val="99"/>
    <w:unhideWhenUsed/>
    <w:rsid w:val="2BE8F36E"/>
    <w:pPr>
      <w:tabs>
        <w:tab w:val="center" w:pos="4680"/>
        <w:tab w:val="right" w:pos="9360"/>
      </w:tabs>
      <w:spacing w:line="240" w:lineRule="auto"/>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090C7B"/>
    <w:rPr>
      <w:color w:val="0000FF" w:themeColor="hyperlink"/>
      <w:u w:val="single"/>
    </w:rPr>
  </w:style>
  <w:style w:type="character" w:styleId="UnresolvedMention">
    <w:name w:val="Unresolved Mention"/>
    <w:basedOn w:val="DefaultParagraphFont"/>
    <w:uiPriority w:val="99"/>
    <w:semiHidden/>
    <w:unhideWhenUsed/>
    <w:rsid w:val="00090C7B"/>
    <w:rPr>
      <w:color w:val="605E5C"/>
      <w:shd w:val="clear" w:color="auto" w:fill="E1DFDD"/>
    </w:rPr>
  </w:style>
  <w:style w:type="character" w:styleId="FollowedHyperlink">
    <w:name w:val="FollowedHyperlink"/>
    <w:basedOn w:val="DefaultParagraphFont"/>
    <w:uiPriority w:val="99"/>
    <w:semiHidden/>
    <w:unhideWhenUsed/>
    <w:rsid w:val="003F7E77"/>
    <w:rPr>
      <w:color w:val="800080" w:themeColor="followedHyperlink"/>
      <w:u w:val="single"/>
    </w:rPr>
  </w:style>
  <w:style w:type="character" w:styleId="Strong">
    <w:name w:val="Strong"/>
    <w:basedOn w:val="DefaultParagraphFont"/>
    <w:uiPriority w:val="22"/>
    <w:qFormat/>
    <w:rsid w:val="003F7E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fontTable" Target="fontTable.xml" Id="rId14" /><Relationship Type="http://schemas.openxmlformats.org/officeDocument/2006/relationships/comments" Target="comments.xml" Id="Rdced0fcf2c4f4613" /><Relationship Type="http://schemas.microsoft.com/office/2016/09/relationships/commentsIds" Target="commentsIds.xml" Id="Ra5168d4ff93e41fd" /><Relationship Type="http://schemas.microsoft.com/office/2011/relationships/commentsExtended" Target="commentsExtended.xml" Id="R024bc2db2dc34fc3" /><Relationship Type="http://schemas.microsoft.com/office/2018/08/relationships/commentsExtensible" Target="commentsExtensible.xml" Id="R09c748944a4a4c80" /><Relationship Type="http://schemas.microsoft.com/office/2011/relationships/people" Target="people.xml" Id="Rf9513e3e153f43ee" /><Relationship Type="http://schemas.openxmlformats.org/officeDocument/2006/relationships/hyperlink" Target="https://a4pc.org/cdi" TargetMode="External" Id="R10373173182047a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http://www.a4pc.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26cd228-1040-4f39-a6bd-db6cf7e5fc1e" xsi:nil="true"/>
    <lcf76f155ced4ddcb4097134ff3c332f xmlns="41c000e0-6e84-4085-ba32-2316bad63c70">
      <Terms xmlns="http://schemas.microsoft.com/office/infopath/2007/PartnerControls"/>
    </lcf76f155ced4ddcb4097134ff3c332f>
    <Hyperlink xmlns="41c000e0-6e84-4085-ba32-2316bad63c70">
      <Url xsi:nil="true"/>
      <Description xsi:nil="true"/>
    </Hyper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779E584758B547A5B749C82FE0D49D" ma:contentTypeVersion="15" ma:contentTypeDescription="Create a new document." ma:contentTypeScope="" ma:versionID="4540615cf9e0694adae9e3ec4602a51b">
  <xsd:schema xmlns:xsd="http://www.w3.org/2001/XMLSchema" xmlns:xs="http://www.w3.org/2001/XMLSchema" xmlns:p="http://schemas.microsoft.com/office/2006/metadata/properties" xmlns:ns2="41c000e0-6e84-4085-ba32-2316bad63c70" xmlns:ns3="126cd228-1040-4f39-a6bd-db6cf7e5fc1e" targetNamespace="http://schemas.microsoft.com/office/2006/metadata/properties" ma:root="true" ma:fieldsID="2afac4f4548329a2b880d9119ec3d3d9" ns2:_="" ns3:_="">
    <xsd:import namespace="41c000e0-6e84-4085-ba32-2316bad63c70"/>
    <xsd:import namespace="126cd228-1040-4f39-a6bd-db6cf7e5fc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Hyper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000e0-6e84-4085-ba32-2316bad63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0f37f74-1570-4de5-a0ec-a6ba9b93a69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Hyperlink" ma:index="21"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cd228-1040-4f39-a6bd-db6cf7e5fc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f38e81-d918-41e3-b819-3488b29c4340}" ma:internalName="TaxCatchAll" ma:showField="CatchAllData" ma:web="126cd228-1040-4f39-a6bd-db6cf7e5fc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14BE7-94DC-4401-A8FB-FEC1D083CCCC}">
  <ds:schemaRefs>
    <ds:schemaRef ds:uri="http://schemas.microsoft.com/sharepoint/v3/contenttype/forms"/>
  </ds:schemaRefs>
</ds:datastoreItem>
</file>

<file path=customXml/itemProps2.xml><?xml version="1.0" encoding="utf-8"?>
<ds:datastoreItem xmlns:ds="http://schemas.openxmlformats.org/officeDocument/2006/customXml" ds:itemID="{84DA60E8-8148-4728-99F6-341FD9B960AB}">
  <ds:schemaRefs>
    <ds:schemaRef ds:uri="http://schemas.microsoft.com/office/2006/metadata/properties"/>
    <ds:schemaRef ds:uri="http://schemas.microsoft.com/office/infopath/2007/PartnerControls"/>
    <ds:schemaRef ds:uri="126cd228-1040-4f39-a6bd-db6cf7e5fc1e"/>
    <ds:schemaRef ds:uri="41c000e0-6e84-4085-ba32-2316bad63c70"/>
  </ds:schemaRefs>
</ds:datastoreItem>
</file>

<file path=customXml/itemProps3.xml><?xml version="1.0" encoding="utf-8"?>
<ds:datastoreItem xmlns:ds="http://schemas.openxmlformats.org/officeDocument/2006/customXml" ds:itemID="{CE2E151E-B2BA-437F-9447-C4CB35950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000e0-6e84-4085-ba32-2316bad63c70"/>
    <ds:schemaRef ds:uri="126cd228-1040-4f39-a6bd-db6cf7e5f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Sean Waldron</lastModifiedBy>
  <revision>3</revision>
  <dcterms:created xsi:type="dcterms:W3CDTF">2026-09-29T20:50:00.0000000Z</dcterms:created>
  <dcterms:modified xsi:type="dcterms:W3CDTF">2026-10-01T16:56:29.5534824Z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0x0101009D779E584758B547A5B749C82FE0D49D</vt:lpwstr>
  </property>
  <property fmtid="{D5CDD505-2E9C-101B-9397-08002B2CF9AE}" pid="3" name="MediaServiceImageTags">
    <vt:lpwstr/>
  </property>
</Properties>
</file>